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546CF" w14:textId="0BC9416C" w:rsidR="00961438" w:rsidRPr="00B64592" w:rsidRDefault="00B64592" w:rsidP="00B64592">
      <w:pPr>
        <w:jc w:val="right"/>
        <w:rPr>
          <w:b/>
          <w:color w:val="0070C0"/>
        </w:rPr>
      </w:pPr>
      <w:r w:rsidRPr="00B64592">
        <w:rPr>
          <w:b/>
          <w:color w:val="0070C0"/>
        </w:rPr>
        <w:t>ANEXA 12</w:t>
      </w:r>
      <w:r w:rsidR="00E07983">
        <w:rPr>
          <w:b/>
          <w:color w:val="0070C0"/>
        </w:rPr>
        <w:t xml:space="preserve"> la Ghid</w:t>
      </w:r>
    </w:p>
    <w:p w14:paraId="3EEA494B" w14:textId="77777777"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14:paraId="3D0A90C5" w14:textId="77777777" w:rsidR="00093E54" w:rsidRDefault="00093E54" w:rsidP="00466EB4">
      <w:pPr>
        <w:jc w:val="center"/>
        <w:rPr>
          <w:b/>
          <w:i/>
          <w:color w:val="0070C0"/>
        </w:rPr>
      </w:pPr>
    </w:p>
    <w:p w14:paraId="5960BD31" w14:textId="77777777"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14:paraId="6F46E2A8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14:paraId="0D72296A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14:paraId="6FAB8E03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14:paraId="2374065F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14:paraId="352538F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soiuri/varietăți/hibrizi/ideotipuri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14:paraId="70071606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14:paraId="5AE4CA2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>de complex ecosistemic contribuie la dezvoltarea sectoarelor forestier, cinegetic, agrosilvic și agroecologic.</w:t>
      </w:r>
    </w:p>
    <w:p w14:paraId="162C429E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14:paraId="3B0451F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>ale IoT, big data, blockchain,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14:paraId="2FC90470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14:paraId="4DBC0DC2" w14:textId="77777777"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>punct 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>și siguranță alimentară. Parte a acestui demers, foodomics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 xml:space="preserve">dietă, sănătatea individului, prin aplicarea unor abordări „omice” precum </w:t>
      </w:r>
      <w:r w:rsidRPr="000B05C2">
        <w:rPr>
          <w:color w:val="0070C0"/>
        </w:rPr>
        <w:lastRenderedPageBreak/>
        <w:t>genomica, transcriptomica,</w:t>
      </w:r>
      <w:r>
        <w:rPr>
          <w:color w:val="0070C0"/>
        </w:rPr>
        <w:t xml:space="preserve"> </w:t>
      </w:r>
      <w:r w:rsidRPr="000B05C2">
        <w:rPr>
          <w:color w:val="0070C0"/>
        </w:rPr>
        <w:t>proteomica și metabolomica, epigenomica, lipidomica, interactivomica, metalomica și/sau</w:t>
      </w:r>
      <w:r>
        <w:rPr>
          <w:color w:val="0070C0"/>
        </w:rPr>
        <w:t xml:space="preserve"> </w:t>
      </w:r>
      <w:r w:rsidRPr="000B05C2">
        <w:rPr>
          <w:color w:val="0070C0"/>
        </w:rPr>
        <w:t>diseasomica.</w:t>
      </w:r>
    </w:p>
    <w:p w14:paraId="4268B9D9" w14:textId="77777777" w:rsidR="000B05C2" w:rsidRPr="000B05C2" w:rsidRDefault="000B05C2" w:rsidP="00466EB4">
      <w:pPr>
        <w:rPr>
          <w:color w:val="0070C0"/>
        </w:rPr>
      </w:pPr>
    </w:p>
    <w:p w14:paraId="46AE82AA" w14:textId="77777777"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14:paraId="2FD77C84" w14:textId="77777777" w:rsidR="000B05C2" w:rsidRPr="00466EB4" w:rsidRDefault="000B05C2" w:rsidP="00466EB4">
      <w:pPr>
        <w:rPr>
          <w:b/>
          <w:color w:val="0070C0"/>
        </w:rPr>
      </w:pPr>
      <w:r w:rsidRPr="00466EB4">
        <w:rPr>
          <w:b/>
          <w:color w:val="0070C0"/>
        </w:rPr>
        <w:t>2.1 Dispozitive și sisteme microelectronice pentru produse inteligente</w:t>
      </w:r>
    </w:p>
    <w:p w14:paraId="78D095B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dispozitive și circuite integrate, inclusiv bazate pe efecte cuantice, senzori inteligenți, lab-ona chip și microsisteme. Domeniul este focalizat pe soluții inovative în proiectarea, implementarea,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testarea și caracterizarea circuitelor integrate, dispozitivelor și sistemelor microelectronice destinate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dezvoltării produselor inteligente.</w:t>
      </w:r>
    </w:p>
    <w:p w14:paraId="750D5FEE" w14:textId="77777777" w:rsidR="000B05C2" w:rsidRPr="002D2873" w:rsidRDefault="000B05C2" w:rsidP="00466EB4">
      <w:pPr>
        <w:rPr>
          <w:b/>
          <w:color w:val="0070C0"/>
        </w:rPr>
      </w:pPr>
      <w:r w:rsidRPr="002D2873">
        <w:rPr>
          <w:b/>
          <w:color w:val="0070C0"/>
        </w:rPr>
        <w:t>2.2 Rețelele viitorului, comunicații, internetul lucrurilor</w:t>
      </w:r>
    </w:p>
    <w:p w14:paraId="1D26196F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bazate pe rețele de senzori inteligenți, Internetul lucrurilor și formele asociate de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calcul distribuit („fog” sau „edge”), precum și integrarea acestora cu tehnologiile geospațiale, în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domenii diverse precum: prevenția și reacția rapidă la dezastre naturale, orașul inteligent,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comunicarea vehicul-vehicul, monitorizarea pacienților etc.</w:t>
      </w:r>
    </w:p>
    <w:p w14:paraId="59AA876C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14:paraId="7E1A1AB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comunicații, IT, biologie și medicină, materiale, aplicații radio, THz,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14:paraId="4A80C310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2.4 Tehnologii XR</w:t>
      </w:r>
    </w:p>
    <w:p w14:paraId="48C82723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complexe ale tehnologiilor imersive, precum realitate virtuală, realitate augmentată,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interfața creier-calculator („Brain-Machine Interface” - BMI) pentru domeniile: cultural, educațional,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industrial, terapeutic și medical, servicii (de divertisment, retail etc.)</w:t>
      </w:r>
      <w:r w:rsidR="00DA6B9E">
        <w:rPr>
          <w:color w:val="0070C0"/>
        </w:rPr>
        <w:t>.</w:t>
      </w:r>
    </w:p>
    <w:p w14:paraId="419239E3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2.5 Sisteme de inteligență artificială</w:t>
      </w:r>
    </w:p>
    <w:p w14:paraId="21C3A0F1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tehnicile inteligenței artificiale și aplicațiile acestora precum prelucrarea limbajului, vederea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computerizată, predicția evoluției unor fenomene, sistemele de recomandare etc. O atenție deosebită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se va acorda sistemelor de inteligență artificială de încredere, definite ca sisteme tehnic robuste,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sigure, transparente, capabile să explice deciziile luate și care să asigure nediscriminare, diversitate,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echitate, co</w:t>
      </w:r>
      <w:r w:rsidR="00DA6B9E">
        <w:rPr>
          <w:color w:val="0070C0"/>
        </w:rPr>
        <w:t>ntribuind la bunăstarea socială</w:t>
      </w:r>
      <w:r w:rsidRPr="000B05C2">
        <w:rPr>
          <w:color w:val="0070C0"/>
        </w:rPr>
        <w:t>.</w:t>
      </w:r>
    </w:p>
    <w:p w14:paraId="69021178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14:paraId="0F65133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14:paraId="339F1107" w14:textId="77777777"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2.7 Tehnologii pentru trasabilitate</w:t>
      </w:r>
    </w:p>
    <w:p w14:paraId="785D108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ale tehnologiilor disruptive precum blockchain, inteligența artificială, internetul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lucrurilor și platforme colaborative, prin care se asigură trasabilitatea bunurilor diverse, permițând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garantarea autenticității, transparentizarea și eficientizarea lanțurilor de valoare adăugată.</w:t>
      </w:r>
    </w:p>
    <w:p w14:paraId="25502D31" w14:textId="77777777" w:rsidR="00C26DEA" w:rsidRDefault="00C26DEA" w:rsidP="00466EB4">
      <w:pPr>
        <w:rPr>
          <w:b/>
          <w:color w:val="0070C0"/>
        </w:rPr>
      </w:pPr>
    </w:p>
    <w:p w14:paraId="0FE266FA" w14:textId="77777777"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2.8 Roboți și agenți cognitivi</w:t>
      </w:r>
    </w:p>
    <w:p w14:paraId="7B9544CE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Robotica cognitivă vizează înzestrarea roboților cu inteligență artificială, permițându-le să învețe și să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răspundă la situații diverse din lumea reală. Funcțiile unui robot inteligent includ, de exemplu: vedere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artificială, recunoaștere automată a vorbirii, sinteza automată a vorbirii, anticipare și planificare,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mișcare autonomă, imitația morfo-funcțională umană, capacitatea de învățare, abilitatea de a explora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 cont propriu.</w:t>
      </w:r>
    </w:p>
    <w:p w14:paraId="287D97B0" w14:textId="77777777"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3. Energie și mobilitate</w:t>
      </w:r>
    </w:p>
    <w:p w14:paraId="7530F05C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14:paraId="7181E6D1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vehicule în orașe inteligente; soluțiile de interoperabilitate și intermodalitate în transport.</w:t>
      </w:r>
    </w:p>
    <w:p w14:paraId="1F80C143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14:paraId="2982D90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14:paraId="1BCC58B4" w14:textId="77777777"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14:paraId="0973BA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creșterea eficienței energetice, sporirea flexibilității sistemului, prioritizarea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tip Smart Grids la nivelul transportului și distribuției de energie electrică, dar și la cel al utilizatorilor.</w:t>
      </w:r>
    </w:p>
    <w:p w14:paraId="37CA44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14:paraId="65BED97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(„pro-sumers”).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 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14:paraId="65A9BEBD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14:paraId="3C0732F3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4.1 Tehnologii de fabricație pentru industria aeronautică</w:t>
      </w:r>
    </w:p>
    <w:p w14:paraId="7B3A696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Deal” și „Circular Aviation”.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(poli/multi-funcționale), cât și performanța pe întreg ciclul de producție-utilizare-reciclare.</w:t>
      </w:r>
    </w:p>
    <w:p w14:paraId="0AEA2EB9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14:paraId="550F1964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14:paraId="3F4DF548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14:paraId="2CC7B0D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acoperire), mașini unelte cu toleranță micronică, etc.</w:t>
      </w:r>
    </w:p>
    <w:p w14:paraId="03D7C7E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14:paraId="081BB6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14:paraId="2A412C9F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Optoelectronica realizează legături între optică, electronică, senzori, comunicații, lab-on-chip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14:paraId="2159882F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14:paraId="02CA444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Materialele compozite inteligente sunt responsive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construcții (materiale și finisaje durabile cu proprietăți de autoreparare, autocurățare, materiale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fotoactive, cromoactive,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autoadaptare), pentru electronice/comunicații, actuatori/senzori,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14:paraId="24AAED8E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</w:p>
    <w:p w14:paraId="4C68212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critice, prin dezvoltarea de soluții alternative green și sustenabile pe termen mediu și lung.</w:t>
      </w:r>
    </w:p>
    <w:p w14:paraId="51CD9BDB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5.4 Materiale pentru aplicații electronice, electrice, fotonice, magnetice și în senzoristică</w:t>
      </w:r>
    </w:p>
    <w:p w14:paraId="57E0F8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materiale, inclusiv bioinspirate,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(inclusiv biochimici, chimici și electrochimici), dispozitive micro- și nanoelectronice,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14:paraId="6CADEFD4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14:paraId="67D6879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proiectarea, modelarea, fabricarea și caracterizarea materialelor avansate, inteligente, înaltfuncționale și dezvoltările în ingineria suprafeței, pentru aplicații bioinspirate și biomimetice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medical precum: dispozitive implantabile, medicina regenerativă/personalizată/de precizie, 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de eliberare controlată, diagnostic (inclusiv bio-imagistică), platforme teranostice, biosenzori,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bio(nano)tehnologii, soluții în imunologie și cosmetică.</w:t>
      </w:r>
    </w:p>
    <w:p w14:paraId="2C1C4ACD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14:paraId="546E74FC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superconductoare, acoperiririle superhidrofobe,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14:paraId="2C8AD192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 Mediu și eco-tehnologii</w:t>
      </w:r>
    </w:p>
    <w:p w14:paraId="6496A8B3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14:paraId="02D2D2FE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monitorizare a mediului (inclusiv prin rețele de senzori și date satelitare),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14:paraId="6CF50654" w14:textId="77777777"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14:paraId="0F00BD3B" w14:textId="77777777"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492521">
      <w:headerReference w:type="first" r:id="rId7"/>
      <w:pgSz w:w="11906" w:h="16838" w:code="9"/>
      <w:pgMar w:top="1134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8808" w14:textId="77777777" w:rsidR="0078117A" w:rsidRDefault="0078117A" w:rsidP="002C069A">
      <w:pPr>
        <w:spacing w:line="240" w:lineRule="auto"/>
      </w:pPr>
      <w:r>
        <w:separator/>
      </w:r>
    </w:p>
  </w:endnote>
  <w:endnote w:type="continuationSeparator" w:id="0">
    <w:p w14:paraId="2FE07F2A" w14:textId="77777777" w:rsidR="0078117A" w:rsidRDefault="0078117A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E5ABE" w14:textId="77777777" w:rsidR="0078117A" w:rsidRDefault="0078117A" w:rsidP="002C069A">
      <w:pPr>
        <w:spacing w:line="240" w:lineRule="auto"/>
      </w:pPr>
      <w:r>
        <w:separator/>
      </w:r>
    </w:p>
  </w:footnote>
  <w:footnote w:type="continuationSeparator" w:id="0">
    <w:p w14:paraId="2C769AD9" w14:textId="77777777" w:rsidR="0078117A" w:rsidRDefault="0078117A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6712F" w14:textId="77777777" w:rsidR="00492521" w:rsidRDefault="00492521" w:rsidP="00492521">
    <w:pPr>
      <w:pStyle w:val="Antet"/>
      <w:tabs>
        <w:tab w:val="left" w:pos="6473"/>
      </w:tabs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6A96C83" wp14:editId="6CB4A751">
          <wp:simplePos x="0" y="0"/>
          <wp:positionH relativeFrom="column">
            <wp:posOffset>2343317</wp:posOffset>
          </wp:positionH>
          <wp:positionV relativeFrom="paragraph">
            <wp:posOffset>-369772</wp:posOffset>
          </wp:positionV>
          <wp:extent cx="743578" cy="7854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743578" cy="7854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983C470" wp14:editId="7F13D9D2">
          <wp:simplePos x="0" y="0"/>
          <wp:positionH relativeFrom="column">
            <wp:posOffset>-233045</wp:posOffset>
          </wp:positionH>
          <wp:positionV relativeFrom="paragraph">
            <wp:posOffset>-190500</wp:posOffset>
          </wp:positionV>
          <wp:extent cx="2181225" cy="452755"/>
          <wp:effectExtent l="0" t="0" r="0" b="0"/>
          <wp:wrapNone/>
          <wp:docPr id="2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07F116B5" w14:textId="77777777" w:rsidR="00492521" w:rsidRDefault="0049252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34C54"/>
    <w:rsid w:val="001432B7"/>
    <w:rsid w:val="0014699F"/>
    <w:rsid w:val="00150B91"/>
    <w:rsid w:val="001530EC"/>
    <w:rsid w:val="00153C07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2ED3"/>
    <w:rsid w:val="002541E4"/>
    <w:rsid w:val="0026092D"/>
    <w:rsid w:val="00260EF3"/>
    <w:rsid w:val="00282086"/>
    <w:rsid w:val="00282FD3"/>
    <w:rsid w:val="002B051B"/>
    <w:rsid w:val="002B45B9"/>
    <w:rsid w:val="002C069A"/>
    <w:rsid w:val="002D1A34"/>
    <w:rsid w:val="002D2873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4009C3"/>
    <w:rsid w:val="00402CA0"/>
    <w:rsid w:val="00415D38"/>
    <w:rsid w:val="00437D9C"/>
    <w:rsid w:val="004436D7"/>
    <w:rsid w:val="004446B0"/>
    <w:rsid w:val="00466EB4"/>
    <w:rsid w:val="004820A9"/>
    <w:rsid w:val="0048251A"/>
    <w:rsid w:val="00492521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46C1B"/>
    <w:rsid w:val="005555F1"/>
    <w:rsid w:val="00557568"/>
    <w:rsid w:val="00566E57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34D64"/>
    <w:rsid w:val="00755044"/>
    <w:rsid w:val="00756C52"/>
    <w:rsid w:val="00757FF5"/>
    <w:rsid w:val="00766E07"/>
    <w:rsid w:val="00767A38"/>
    <w:rsid w:val="0078117A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A6B9E"/>
    <w:rsid w:val="00DB36CE"/>
    <w:rsid w:val="00DC71CA"/>
    <w:rsid w:val="00DF073C"/>
    <w:rsid w:val="00E07983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300F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CDB35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Fontdeparagrafimplicit"/>
    <w:link w:val="ParagrafDocExtern"/>
    <w:rsid w:val="0013432B"/>
    <w:rPr>
      <w:rFonts w:ascii="Arial" w:hAnsi="Arial"/>
      <w:sz w:val="24"/>
      <w:szCs w:val="28"/>
    </w:rPr>
  </w:style>
  <w:style w:type="paragraph" w:styleId="Textnotdesubsol">
    <w:name w:val="footnote text"/>
    <w:basedOn w:val="Normal"/>
    <w:link w:val="TextnotdesubsolCaracte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Fontdeparagrafimplicit"/>
    <w:link w:val="EnuntDocExtern"/>
    <w:rsid w:val="006022A1"/>
    <w:rPr>
      <w:rFonts w:ascii="Arial" w:hAnsi="Arial"/>
      <w:sz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2C069A"/>
    <w:rPr>
      <w:rFonts w:ascii="Arial" w:hAnsi="Arial"/>
      <w:i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C069A"/>
    <w:rPr>
      <w:vertAlign w:val="superscript"/>
    </w:rPr>
  </w:style>
  <w:style w:type="paragraph" w:styleId="Antet">
    <w:name w:val="header"/>
    <w:basedOn w:val="Normal"/>
    <w:link w:val="AntetCaracter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AntetCaracter">
    <w:name w:val="Antet Caracter"/>
    <w:basedOn w:val="Fontdeparagrafimplicit"/>
    <w:link w:val="Antet"/>
    <w:rsid w:val="002C069A"/>
    <w:rPr>
      <w:rFonts w:ascii="Arial" w:hAnsi="Arial"/>
      <w:sz w:val="20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2C069A"/>
    <w:rPr>
      <w:rFonts w:ascii="Arial" w:hAnsi="Arial"/>
      <w:sz w:val="20"/>
      <w:szCs w:val="20"/>
    </w:rPr>
  </w:style>
  <w:style w:type="paragraph" w:styleId="Revizuire">
    <w:name w:val="Revision"/>
    <w:hidden/>
    <w:uiPriority w:val="99"/>
    <w:semiHidden/>
    <w:rsid w:val="00E07983"/>
    <w:pPr>
      <w:spacing w:after="0" w:line="240" w:lineRule="auto"/>
    </w:pPr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51DB9-B772-49D6-AF80-B3DD7481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1988</Words>
  <Characters>11333</Characters>
  <Application>Microsoft Office Word</Application>
  <DocSecurity>0</DocSecurity>
  <Lines>94</Lines>
  <Paragraphs>26</Paragraphs>
  <ScaleCrop>false</ScaleCrop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mirela dobre</cp:lastModifiedBy>
  <cp:revision>25</cp:revision>
  <dcterms:created xsi:type="dcterms:W3CDTF">2023-07-31T06:07:00Z</dcterms:created>
  <dcterms:modified xsi:type="dcterms:W3CDTF">2023-08-31T09:07:00Z</dcterms:modified>
</cp:coreProperties>
</file>